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240"/>
        <w:jc w:val="center"/>
        <w:rPr>
          <w:rFonts w:ascii="Times New Roman" w:hAnsi="Times New Roman" w:eastAsia="Times New Roman" w:cs="Times New Roman"/>
          <w:b/>
          <w:b/>
          <w:highlight w:val="white"/>
        </w:rPr>
      </w:pPr>
      <w:r>
        <w:rPr>
          <w:rFonts w:eastAsia="Times New Roman" w:cs="Times New Roman" w:ascii="Times New Roman" w:hAnsi="Times New Roman"/>
          <w:b/>
          <w:color w:val="333333"/>
          <w:highlight w:val="white"/>
        </w:rPr>
        <w:t>Urgent Call to Preserve the Lives of t</w:t>
      </w:r>
      <w:r>
        <w:rPr>
          <w:rFonts w:eastAsia="Times New Roman" w:cs="Times New Roman" w:ascii="Times New Roman" w:hAnsi="Times New Roman"/>
          <w:b/>
          <w:highlight w:val="white"/>
        </w:rPr>
        <w:t>he Strikers Concentrated in Movimiento San Isidro’s Headquarters</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The undersigned - international and Cuban civil society organizations, members of Cuban independent media, activists, and Cuban citizens - condemn the harassment, police violence, human rights violations, and repressive acts perpetrated by Cuban authorities against artists, journalists, and independent civil society actors in response to peaceful demonstrations against the arrest and subsequent arbitrary conviction of the musician and member of Movimiento San Isidro (MSI), Denis Solís González.</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We, therefore, urge Cuban authorities to act in accordance with their obligation to preserve the life and health, and safety of the 14 activists at the MSI headquarters since November 16, demanding the release of the musician Denis Solis González.</w:t>
      </w:r>
    </w:p>
    <w:p>
      <w:pPr>
        <w:pStyle w:val="Normal"/>
        <w:spacing w:lineRule="auto" w:line="240" w:before="240" w:after="240"/>
        <w:jc w:val="both"/>
        <w:rPr>
          <w:rFonts w:ascii="Times New Roman" w:hAnsi="Times New Roman" w:eastAsia="Times New Roman" w:cs="Times New Roman"/>
          <w:b/>
          <w:b/>
        </w:rPr>
      </w:pPr>
      <w:r>
        <w:rPr>
          <w:rFonts w:eastAsia="Times New Roman" w:cs="Times New Roman" w:ascii="Times New Roman" w:hAnsi="Times New Roman"/>
        </w:rPr>
        <w:t xml:space="preserve">On November 9, 2020, Denis Solís González was brutally detained by agents of the National Revolutionary Police (PNR) in the Habana Vieja municipality, a few blocks from his home. Since then, there has been no communication with the musician, and attempts to gather information on his whereabouts through official channels were unsuccessful. According to international standards, Solís González has been </w:t>
      </w:r>
      <w:r>
        <w:rPr>
          <w:rFonts w:eastAsia="Times New Roman" w:cs="Times New Roman" w:ascii="Times New Roman" w:hAnsi="Times New Roman"/>
          <w:b/>
        </w:rPr>
        <w:t>forcibly disappeared.</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Upon arrest, the acting agents failed to present a valid arrest warrant, inform Solis Gonzalezof his charges and instruct him on  his rights as a defendant.</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As detailed in the judicial order in response to the Habeas Corpus filed on November 10, he was sentenced in under 72 hours to eight  months of deprivation of liberty for the crime of "contempt" without receiving the most basic guarantees of due process. Additionally, on November 11, he was transferred to the maximum-security prison in Valle Grande.</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Between November 10 and 18, there have been 34 arbitrary arrests of 20 individuals documented, alongside surveillance operations intended to prevent free movement and internet service blocks for artists, activists and journalists peacefully demonstrating for the release of Denis Solís. The various peaceful protests demanding the release of the musician have resulted in an escalation of violence.</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Since November 16, approximately 14 activists, artists and journalists have congregated at the MSI headquarters, under siege from state security forces. At first, MSI was barred access. In response, they organized a poetic reading at the headquarters. Later, following the theft of their food, a few activists began a hunger strike. Finally, a substance that they suspect is hydrochloric acid, was thrown onto the door and roof of the headquarters, damaging their water supply.</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It is important to highlight the information lockdown that has been implemented. Journalists and activists in solidarity with MSI have been prevented from leaving their homes for at least nine days. There have also been attacks on foreign press and arrests of independent journalists, who on November 22, sought to cover the demonstrations and/or meetings organized throughout the central parks of Havana.</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Given the facts presented, the undersigned organizations urgently call upon the Cuban government to allow the International Red Cross entry so they can respond to the request for assistance MSI has issued over the past two days.</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We also demand that the Cuban government declare the criminal proceedings against Denis Solis González void and proceed with his immediate release. We hope they respond to the call for dialogue from members of Movimiento San Isidro in order to protect the lives of the activists.</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We also demand that the government allow citizens to exercise their right to peacefully protest and that the harassment and digital interference against those who participate in or carry out journalistic coverage of these events cease. It is indefensible, that the Cuban State, recently elected to occupy a place on the United Nations Human Rights Council, should engage in this type of systematic infraction of human rights in flagrant violation of all relevant international agreements and standards.</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We also demand that the High Commissioner of the United Nations, Michelle Bachelet, condemn the multiple human rights violations perpetrated by agents of the Cuban State against the people engaging in legitimate protest at the Movimiento San Isidro headquarters.</w:t>
      </w:r>
    </w:p>
    <w:p>
      <w:pPr>
        <w:pStyle w:val="Normal"/>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We call on embassies, the European Union, and the special procedures of the United Nations and the Inter-American Commission on Human Rights, to firmly communicate to the Cuban State their condemnation and concern regarding these events, and urge it to assume its obligations to guarantee and protect human rights, especially as a member of the United Nations Human Rights Council.</w:t>
      </w:r>
    </w:p>
    <w:p>
      <w:pPr>
        <w:pStyle w:val="Normal"/>
        <w:spacing w:lineRule="auto" w:line="240" w:before="240" w:after="240"/>
        <w:jc w:val="center"/>
        <w:rPr>
          <w:rFonts w:ascii="Times New Roman" w:hAnsi="Times New Roman" w:eastAsia="Times New Roman" w:cs="Times New Roman"/>
          <w:b/>
          <w:b/>
        </w:rPr>
      </w:pPr>
      <w:r>
        <w:rPr>
          <w:rFonts w:eastAsia="Times New Roman" w:cs="Times New Roman" w:ascii="Times New Roman" w:hAnsi="Times New Roman"/>
        </w:rPr>
        <w:t xml:space="preserve"> </w:t>
      </w:r>
      <w:r>
        <w:rPr>
          <w:rFonts w:eastAsia="Times New Roman" w:cs="Times New Roman" w:ascii="Times New Roman" w:hAnsi="Times New Roman"/>
          <w:b/>
        </w:rPr>
        <w:t>FIRMANTES</w:t>
      </w:r>
    </w:p>
    <w:p>
      <w:pPr>
        <w:pStyle w:val="Normal"/>
        <w:rPr>
          <w:rFonts w:ascii="Times New Roman" w:hAnsi="Times New Roman" w:eastAsia="Times New Roman" w:cs="Times New Roman"/>
          <w:b/>
          <w:b/>
        </w:rPr>
      </w:pPr>
      <w:r>
        <w:rPr>
          <w:rFonts w:eastAsia="Times New Roman" w:cs="Times New Roman" w:ascii="Times New Roman" w:hAnsi="Times New Roman"/>
          <w:b/>
        </w:rPr>
        <w:t xml:space="preserve">International Civil Society Organizations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Acceso a la Justicia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Article 19 Oficina para México y Centroamérica</w:t>
      </w:r>
    </w:p>
    <w:p>
      <w:pPr>
        <w:pStyle w:val="Normal"/>
        <w:ind w:left="720" w:hanging="0"/>
        <w:rPr/>
      </w:pPr>
      <w:hyperlink r:id="rId2">
        <w:r>
          <w:rPr>
            <w:rStyle w:val="ListLabel1"/>
            <w:rFonts w:eastAsia="Times New Roman" w:cs="Times New Roman" w:ascii="Times New Roman" w:hAnsi="Times New Roman"/>
          </w:rPr>
          <w:t>Asociación de Periodismo Investigativo (Abraji)</w:t>
        </w:r>
      </w:hyperlink>
      <w:r>
        <w:rPr>
          <w:rFonts w:eastAsia="Times New Roman" w:cs="Times New Roman" w:ascii="Times New Roman" w:hAnsi="Times New Roman"/>
        </w:rPr>
        <w:t>, Brasil</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Cultura Democrática, Argentina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CADAL, Argentina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Centro de Justicia y Paz (Cepaz)</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Centro de Acción y Defensa por los DDHH (CADEF), Venezuela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Civil Rights Defenders, Suecia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Defiende Venezuela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Diálogo por la democracia - Nicaragua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Demos, Guatemala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Extituto de Politica Abierta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Freedom House, EEUU</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Foro Penal, Venezuela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Forum 2000 Foundation</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Fundamedios, Ecuador</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Fundación Ciudadanía y Desarrollo, Ecuador</w:t>
      </w:r>
    </w:p>
    <w:p>
      <w:pPr>
        <w:pStyle w:val="Normal"/>
        <w:ind w:left="720" w:hanging="0"/>
        <w:rPr/>
      </w:pPr>
      <w:hyperlink r:id="rId3">
        <w:r>
          <w:rPr>
            <w:rStyle w:val="ListLabel2"/>
            <w:rFonts w:eastAsia="Times New Roman" w:cs="Times New Roman" w:ascii="Times New Roman" w:hAnsi="Times New Roman"/>
            <w:color w:val="333333"/>
            <w:highlight w:val="white"/>
          </w:rPr>
          <w:t>Fundación Violeta Barrios de Chamorro</w:t>
        </w:r>
      </w:hyperlink>
      <w:r>
        <w:rPr>
          <w:rFonts w:eastAsia="Times New Roman" w:cs="Times New Roman" w:ascii="Times New Roman" w:hAnsi="Times New Roman"/>
        </w:rPr>
        <w:t>, Nicaragua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Gobierno y Análisis Político AC, México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Instituto de Prensa y Sociedad, Perú</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Justicia, Encuentro y Perdón, Venezuela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Movimiento por la libertad de Expresión</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Observatorio de Libertad Académica (OLA)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People in Need, República Checa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People in Need, Eslovaquia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Programa Cuba de la Universidad Sergio Arboleda, Colombia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Programa Venezolano de Educación-Acción en Derechos Humanos (Provea)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Prisoners Defenders, España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Primero Guatemala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PEN Internacional</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Un Mundo Sin Mordaza, Venezuela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A.C Consorcio, Desarrollo y Justicia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A.C. Generación Activa Venezuela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Fundación Nacional de Estudios Jurídicos políticos y Sociales. (Funejps)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Federación Venezolana de estudiantes de Ciencias Políticas. (Fevecipol)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Federación de Estudiantes de educación media. (Feneem)</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Asociación Cultural AV Kreativhaus e.V - Alemania</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b/>
          <w:b/>
        </w:rPr>
      </w:pPr>
      <w:r>
        <w:rPr>
          <w:rFonts w:eastAsia="Times New Roman" w:cs="Times New Roman" w:ascii="Times New Roman" w:hAnsi="Times New Roman"/>
          <w:b/>
        </w:rPr>
        <w:t>Regional Organizations</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Alianza Regional por la Libre Expresión e Información</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DemoAmlat</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Red Latinoamericana y del Caribe para la Democracia (REDLAD)</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Red Latinoamericana de Jóvenes por la Democracia (JuventudLAC)</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IFEX-ALC</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Voces del Sur</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b/>
          <w:b/>
        </w:rPr>
      </w:pPr>
      <w:r>
        <w:rPr>
          <w:rFonts w:eastAsia="Times New Roman" w:cs="Times New Roman" w:ascii="Times New Roman" w:hAnsi="Times New Roman"/>
          <w:b/>
        </w:rPr>
        <w:t>Cuban Civil Society Organizations</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Alianza Cubana por la Inclusión</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Alianza Democrática Pinareña Vueltabajo por 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Asociación Civil Crecer en Libertad</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Asociación Jurídica Cubana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Asociación Cubana para la Divulgación del Islam</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Asociación Sindical Independiente de Cuba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Asociación Pro Libertad de Prensa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Center for a Free 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Centro de Estudios Convivencia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Centro PEN de Escritores Cubanos en el Exilio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Club de Escritores y Artistas de 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Comité de Ciudadanos por la Integración Racial (CIR)</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Colegio de Pedagogos Independientes de Cuba (CPIC)</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Centro Estudios Liderazgo y Desarrollo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Comunidad Judía Bnei Anusim de 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Confederación Obrera Nacional Independiente de Cuba (CONIC)</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Cubalex</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Cuba Independiente y Democrática (CID)</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Damas de Blanco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Democuba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Directorio Democrático Cubano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Monitor Legislativo Cubano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Libertad Cuba Lab</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Grupo Demongeles</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Grupo Anima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Fundación para la Democracia Panamericana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Fundación Nacional Cubano Americana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La Maleza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Libertad Cuba Lab</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Instituto de Activismo Hannah Arendt</w:t>
      </w:r>
    </w:p>
    <w:p>
      <w:pPr>
        <w:pStyle w:val="Normal"/>
        <w:ind w:left="720" w:hanging="0"/>
        <w:rPr>
          <w:rFonts w:ascii="Times New Roman" w:hAnsi="Times New Roman" w:eastAsia="Times New Roman" w:cs="Times New Roman"/>
          <w:highlight w:val="white"/>
        </w:rPr>
      </w:pPr>
      <w:r>
        <w:rPr>
          <w:rFonts w:eastAsia="Times New Roman" w:cs="Times New Roman" w:ascii="Times New Roman" w:hAnsi="Times New Roman"/>
          <w:highlight w:val="white"/>
        </w:rPr>
        <w:t>Instituto Cubano por la Libertad de Expresión y Prensa - ICLEP</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Instituto Patmos</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Instituto La Rosa Blanca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Iglesia Misionera en 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Movimiento Apostólico“Viento Recio”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Movimiento Ciudadano Reflexión y Reconciliación (MCRR)</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Movimiento Opositores por una  Nueva República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Mesa de Diálogo de la Juventud Cubana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Mujeres Democristianas de 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Observatorio Cubano de Derechos Humanos</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Palabra Abierta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Proyecto Demócrata Cubano (PRODECU)</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Partido Arco Progresista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Partido Autónomo Pinero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Partido Pedro Luis Boitel</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Partido Demócrata Cristiano de 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Plataforma Independiente para el Desarrollo Universitario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Puente a la Vista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Red Femenina de 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Red de Líderes y Lideresas Comunitarios (RELLIC)</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Somos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Solidaridad Trabajadores de 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Talento Cubano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Unión Patriótica de Cuba (UNPACU)</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Mujer a Mujer</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b/>
          <w:b/>
        </w:rPr>
      </w:pPr>
      <w:r>
        <w:rPr>
          <w:rFonts w:eastAsia="Times New Roman" w:cs="Times New Roman" w:ascii="Times New Roman" w:hAnsi="Times New Roman"/>
          <w:b/>
        </w:rPr>
        <w:t xml:space="preserve"> </w:t>
      </w:r>
      <w:r>
        <w:rPr>
          <w:rFonts w:eastAsia="Times New Roman" w:cs="Times New Roman" w:ascii="Times New Roman" w:hAnsi="Times New Roman"/>
          <w:b/>
        </w:rPr>
        <w:t>Independent Media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Hypermedia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El Estornudo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Yucabyte</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ADN 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Rialta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Cubanet</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CiberCuba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Cubs Inside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Diario de 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14yMedio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ADN 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Inventario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Mujercitos Magazine</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La Hora de Cuba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Play-Off Magazine</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VPItv - Venezolanos por la información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 xml:space="preserve">Radio Viva 24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Árbol invertido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Alas tensas</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Palabra Abierta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OtroLunes - Revista Hispanoamericana de Cultura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Havana Times</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b/>
          <w:b/>
        </w:rPr>
      </w:pPr>
      <w:r>
        <w:rPr>
          <w:rFonts w:eastAsia="Times New Roman" w:cs="Times New Roman" w:ascii="Times New Roman" w:hAnsi="Times New Roman"/>
          <w:b/>
        </w:rPr>
        <w:t xml:space="preserve">Activists and Citizens </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Hildebrando Chaviano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Roberto González</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Rafael Almanza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Hilda Molina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Boris González Arenas</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Mauricio Mendoza Navarro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Anay Remón García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Marta María Ramirez</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Claudia Patricia Pérez Olivera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Víctor Fernández</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Yamilka Lafita Cancio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Enrico Mosca Díaz</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Miriam Herrera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Orlando Luis Pardo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Manuel Alberto Morejón Soler</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Martha Beatriz Roque</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Roberto de Jesús Quiñones Haces</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Guillermo del Sol Pérez</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José Gabriel Barrenechea Chávez</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Raudel García Bringas</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Bárbaro La Nuez Ramírez</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Severiano Ramírez Díaz</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Pedro Ramírez Díaz</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Soraya Quijano Silva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Yerdlim Verá Perdomo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Yadira Frontela Bacallao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Tomás Álvarez García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Wilfredo Álvarez García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Miguel Coba García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Enrique Coba García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Ramón Rafael González Pentón</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Yokendri Rico Arrea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Yoslovy Piñol Morra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Bárbaro Piñol Morfa</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Lía VIllares</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María Matienzo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José Raúl Gallego</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Jorge Enrique Rodríguez</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Amir Valle</w:t>
      </w:r>
    </w:p>
    <w:p>
      <w:pPr>
        <w:pStyle w:val="Normal"/>
        <w:ind w:left="720" w:hanging="0"/>
        <w:rPr>
          <w:rFonts w:ascii="Times New Roman" w:hAnsi="Times New Roman" w:eastAsia="Times New Roman" w:cs="Times New Roman"/>
        </w:rPr>
      </w:pPr>
      <w:r>
        <w:rPr>
          <w:rFonts w:eastAsia="Times New Roman" w:cs="Times New Roman" w:ascii="Times New Roman" w:hAnsi="Times New Roman"/>
        </w:rPr>
        <w:t>Juan Omar Fierro</w:t>
      </w:r>
    </w:p>
    <w:p>
      <w:pPr>
        <w:pStyle w:val="Normal"/>
        <w:ind w:left="720" w:hanging="0"/>
        <w:rPr/>
      </w:pPr>
      <w:r>
        <w:rPr>
          <w:rFonts w:eastAsia="Times New Roman" w:cs="Times New Roman" w:ascii="Times New Roman" w:hAnsi="Times New Roman"/>
        </w:rPr>
        <w:t>Hilda Landrove</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s" w:eastAsia="zh-CN" w:bidi="hi-IN"/>
    </w:rPr>
  </w:style>
  <w:style w:type="paragraph" w:styleId="Ttulo1">
    <w:name w:val="Heading 1"/>
    <w:basedOn w:val="Normal1"/>
    <w:next w:val="Normal"/>
    <w:qFormat/>
    <w:pPr>
      <w:keepNext w:val="true"/>
      <w:keepLines/>
      <w:spacing w:lineRule="auto" w:line="240" w:before="400" w:after="120"/>
    </w:pPr>
    <w:rPr>
      <w:sz w:val="40"/>
      <w:szCs w:val="40"/>
    </w:rPr>
  </w:style>
  <w:style w:type="paragraph" w:styleId="Ttulo2">
    <w:name w:val="Heading 2"/>
    <w:basedOn w:val="Normal1"/>
    <w:next w:val="Normal"/>
    <w:qFormat/>
    <w:pPr>
      <w:keepNext w:val="true"/>
      <w:keepLines/>
      <w:spacing w:lineRule="auto" w:line="240" w:before="360" w:after="120"/>
    </w:pPr>
    <w:rPr>
      <w:b w:val="false"/>
      <w:sz w:val="32"/>
      <w:szCs w:val="32"/>
    </w:rPr>
  </w:style>
  <w:style w:type="paragraph" w:styleId="Ttulo3">
    <w:name w:val="Heading 3"/>
    <w:basedOn w:val="Normal1"/>
    <w:next w:val="Normal"/>
    <w:qFormat/>
    <w:pPr>
      <w:keepNext w:val="true"/>
      <w:keepLines/>
      <w:spacing w:lineRule="auto" w:line="240" w:before="320" w:after="80"/>
    </w:pPr>
    <w:rPr>
      <w:b w:val="false"/>
      <w:color w:val="434343"/>
      <w:sz w:val="28"/>
      <w:szCs w:val="28"/>
    </w:rPr>
  </w:style>
  <w:style w:type="paragraph" w:styleId="Ttulo4">
    <w:name w:val="Heading 4"/>
    <w:basedOn w:val="Normal1"/>
    <w:next w:val="Normal"/>
    <w:qFormat/>
    <w:pPr>
      <w:keepNext w:val="true"/>
      <w:keepLines/>
      <w:spacing w:lineRule="auto" w:line="240" w:before="280" w:after="80"/>
    </w:pPr>
    <w:rPr>
      <w:color w:val="666666"/>
      <w:sz w:val="24"/>
      <w:szCs w:val="24"/>
    </w:rPr>
  </w:style>
  <w:style w:type="paragraph" w:styleId="Ttulo5">
    <w:name w:val="Heading 5"/>
    <w:basedOn w:val="Normal1"/>
    <w:next w:val="Normal"/>
    <w:qFormat/>
    <w:pPr>
      <w:keepNext w:val="true"/>
      <w:keepLines/>
      <w:spacing w:lineRule="auto" w:line="240" w:before="240" w:after="80"/>
    </w:pPr>
    <w:rPr>
      <w:color w:val="666666"/>
      <w:sz w:val="22"/>
      <w:szCs w:val="22"/>
    </w:rPr>
  </w:style>
  <w:style w:type="paragraph" w:styleId="Ttulo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eastAsia="Times New Roman" w:cs="Times New Roman"/>
    </w:rPr>
  </w:style>
  <w:style w:type="character" w:styleId="EnlacedeInternet">
    <w:name w:val="Enlace de Internet"/>
    <w:rPr>
      <w:color w:val="000080"/>
      <w:u w:val="single"/>
      <w:lang w:val="zxx" w:eastAsia="zxx" w:bidi="zxx"/>
    </w:rPr>
  </w:style>
  <w:style w:type="character" w:styleId="ListLabel2">
    <w:name w:val="ListLabel 2"/>
    <w:qFormat/>
    <w:rPr>
      <w:rFonts w:ascii="Times New Roman" w:hAnsi="Times New Roman" w:eastAsia="Times New Roman" w:cs="Times New Roman"/>
      <w:color w:val="333333"/>
      <w:highlight w:val="white"/>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s" w:eastAsia="zh-CN" w:bidi="hi-IN"/>
    </w:rPr>
  </w:style>
  <w:style w:type="paragraph" w:styleId="Titular">
    <w:name w:val="Title"/>
    <w:basedOn w:val="Normal1"/>
    <w:next w:val="Normal"/>
    <w:qFormat/>
    <w:pPr>
      <w:keepNext w:val="true"/>
      <w:keepLines/>
      <w:spacing w:lineRule="auto" w:line="240" w:before="0" w:after="60"/>
    </w:pPr>
    <w:rPr>
      <w:sz w:val="52"/>
      <w:szCs w:val="52"/>
    </w:rPr>
  </w:style>
  <w:style w:type="paragraph" w:styleId="Subttulo">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braji.org.br/" TargetMode="External"/><Relationship Id="rId3" Type="http://schemas.openxmlformats.org/officeDocument/2006/relationships/hyperlink" Target="https://www.violetachamorro.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9</Pages>
  <Words>1364</Words>
  <Characters>8037</Characters>
  <CharactersWithSpaces>9242</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es-MX</dc:language>
  <cp:lastModifiedBy/>
  <cp:revision>0</cp:revision>
  <dc:subject/>
  <dc:title/>
</cp:coreProperties>
</file>